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175 vom 19. September 2024</w:t>
      </w:r>
    </w:p>
    <w:p>
      <w:r>
        <w:t>BL Gerichte, 2024-09-19, DE</w:t>
      </w:r>
    </w:p>
    <w:p>
      <w:r>
        <w:rPr>
          <w:b/>
        </w:rPr>
        <w:t xml:space="preserve">Quelle: </w:t>
      </w:r>
      <w:r>
        <w:t>https://mcp.opencaselaw.ch/entscheid/bl_gerichte_810 2024 175</w:t>
      </w:r>
    </w:p>
    <w:p>
      <w:r>
        <w:t>FR: BL_GERICHTE 810 2024 175 du 19 septembre 2024</w:t>
      </w:r>
    </w:p>
    <w:p>
      <w:r>
        <w:t>IT: BL_GERICHTE 810 2024 175 del 19 settembre 2024</w:t>
      </w:r>
    </w:p>
    <w:p>
      <w:pPr>
        <w:pStyle w:val="Heading2"/>
      </w:pPr>
      <w:r>
        <w:t>Regeste</w:t>
      </w:r>
    </w:p>
    <w:p>
      <w:r>
        <w:t>Einschränkung der Handlungsfähigkeit / Anpassung des Aufgabenbereichs der Mandatsperson</w:t>
      </w:r>
    </w:p>
    <w:p>
      <w:pPr>
        <w:pStyle w:val="Heading2"/>
      </w:pPr>
      <w:r>
        <w:t>Erwägungen</w:t>
      </w:r>
    </w:p>
    <w:p>
      <w:r>
        <w:rPr>
          <w:b/>
        </w:rPr>
        <w:t>E. 1</w:t>
      </w:r>
    </w:p>
    <w:p>
      <w:r>
        <w:t>Gemäss Art. 450 Abs. 1 ZGB in Verbindung mit § 66 Abs. 1 des kantonalen Gesetzes über die Einführung des Zivilgesetzbuches (EG ZGB) vom 16. November 2006 kann gegen Entscheide der KESB Beschwerde beim Kantonsgericht erhoben werden. Das Verfahren richtet sich nach den Art. 450 ff. ZGB. Im Übrigen sind die Bestimmungen des kantonalen Verwaltungsprozessrechts anwendbar (vgl. § 66 Abs. 2 EG ZGB). Über offensichtlich unbegründeten Beschwerden entscheidet die präsidierende Person (§ 1 Abs. 3 lit. e des Gesetzes über die Verfassungs- und Verwaltungsprozessordnung [VPO] vom 16. Dezember 1993). Die Beschwerde ist frist- und formgerecht erhoben worden (vgl. Art. 450b Abs. 1 und Art. 450 Abs. 3 ZGB). Die Beschwerdeführerin ist als direkte Verfahrensbeteiligte zur Beschwerdeerhebung legitimiert (Art. 450 Abs. 2 Ziffer 1 ZGB). Auf die Beschwerde ist somit einzutreten.</w:t>
      </w:r>
    </w:p>
    <w:p>
      <w:r>
        <w:rPr>
          <w:b/>
        </w:rPr>
        <w:t>E. 2</w:t>
      </w:r>
    </w:p>
    <w:p>
      <w:r>
        <w:t>Nach Art. 450a Abs. 1 ZGB können mit der Beschwerde Rechtsverletzungen (Ziffer 1), die unrichtige oder unvollständige Feststellung des Sachverhalts (Ziffer 2) sowie die Unangemessenheit (Ziffer 3) gerügt werden. Dem Kantonsgericht kommt bei der Beurteilung der vorliegenden Beschwerde somit volle Kognition zu.</w:t>
      </w:r>
    </w:p>
    <w:p>
      <w:r>
        <w:rPr>
          <w:b/>
        </w:rPr>
        <w:t>E. 3</w:t>
      </w:r>
    </w:p>
    <w:p>
      <w:r>
        <w:t>Vorab ist festzuhalten, dass das vorliegende Verfahren auf die Frage beschränkt ist, ob die KESB B. zu Recht der Beschwerdeführerin die Handlungsfähigkeit im vorgesehenen Umfang entzog und den Aufgabenbereich der Mandatsperson anpasste. 4.1 Die behördlichen Massnahmen des Erwachsenenschutzes stellen das Wohl und den Schutz hilfsbedürftiger Personen sicher. Sie sollen die Selbstbestimmung der betroffenen Person so weit wie möglich erhalten und fördern (Art. 388 ZGB). 4.2 In Art. 389 ZGB unterstellt der Gesetzgeber zudem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Ist die gebotene Unterstützung der hilfsbedürftigen Person auf andere Art –durch die Familie, andere nahestehende Personen oder private oder öffentliche Dienste –schon gewährleistet, so ordnet die Erwachsenenschutzbehörde keine Massnahme an (vgl. Art. 389 Abs. 1 Ziffer 1 ZGB). Kommt die Erwachsenenschutzbehörde demgegenüber zum Schluss, die vorhandene Unterstützung der hilfsbedürftigen Person sei nicht ausreichend oder von vornherein ungenügend, so muss ihre behördliche Massnahme verhältnismässig, das heisst erforderlich und geeignet sein (Art. 389 Abs. 2 ZGB). Verhältnismässig ist eine Massnahme, wenn sie einerseits so wenig wie möglich, aber doch so stark wie nötig in die Privatsphäre und in die Rechtsstellung von Betroffenen eingreift (vgl. zum Ganzen Ivo Biderbost in: Thomas Geiser/Christiana Fountoulakis [Hrsg.], Basler Kommentar Zivilgesetzbuch I, Art. 1-456 ZGB, 7. Auflage, Basel 2022, N 1 ff. zu Art. 389 ZGB). Die Erwachsenenschutzbehörde hat dabei nicht gesetzlich fest umschriebene, starre Massnahmen, sondern "Massnahmen nach Mass" zu treffen, das heisst solche, die den Bedürfnissen der betroffenen Person entsprechen (vgl. Art. 391 Abs. 1 ZGB; Ivo Biderbost , a.a.O., N 1 f. zu Art. 391 ZGB). 4.3 Die Vertretungsbeistandschaft gemäss Art. 394 ZGB schränkt die Handlungsfähigkeit der verbeiständeten Person nicht ein. Dadurch besteht das Risiko, dass der Beistand und der Verbeiständete in derselben Angelegenheit inhaltlich verschiedene Willenserklärungen abgeben. Muss damit gerechnet werden, dass die verbeiständete Person die Handlungen des Beistands absichtlich oder ungewollt hindert oder durchkreuzt und so die ordnungsgemässe Erledigung der dem Beistand übertragenen Aufgaben vereitelt, ist die Handlungsfähigkeit der verbeiständeten Person entsprechend einzuschränken (vgl. Art. 394 Abs. 2 ZGB). Umfasst die Vertretungsbeistandschaft auch die Vermögensverwaltung (Art. 395 ZGB), ist auch in diesem Aufgabenbereich eine Einschränkung der Handlungsfähigkeit zulässig (vgl. Ivo Biderbost , a.a.O., N 3 und 23 ff. zu Art. 394 ZGB). 4.4 Die Aufhebung der Handlungsfähigkeit setzt einen besonderen Schwächezustand der betroffenen Person voraus und muss verhältnismässig sein. Es muss sich erweisen, dass die betroffene Person im betroffenen Bereich nicht mehr interessenkonform agiert, etwa die in ihrem eigenen Interesse liegende Besorgung einer Angelegenheit sinnlos verzögert oder konterkariert. Blosse Sturheit, Besserwisserei oder Zögerlichkeit seitens der betroffenen Person genügen dagegen nicht, denn Art. 394 Abs. 2 ZGB darf nicht dazu missbraucht werden, um sich eine längere, unter Umständen auch mühsame Auseinandersetzung mit der betroffenen Person zu ersparen ( Christiana Fountoulakis in: Ruth Arnet/Peter Breitschmid/Alexandra Jungo [Hrsg.], Handkommentar zum Schweizer Privatrecht, Personen- und Familienrecht, Art. 1-456 ZGB, 4. Auflage, Zürich Genf 2023, N 11 zu Art. 394; vgl. auch Ivo Biderbost , a.a.O., N 29 ff. zu Art. 394 ZGB). 5.1 Die Vorinstanz erwog in ihrem Entscheid, der Schwächezustand der Beschwerdeführerin im Sinne des Gesetzes sei aktenkundig. Die finanzielle Situation erweise sich zudem als äusserst angespannt. Die Mandatsperson habe in ihrem Antrag beschrieben, dass die Beschwerdeführerin den Überblick über ihre finanziellen Verhältnisse verloren habe. So schliesse sie eine Vielzahl unterschiedlicher Rechtsgeschäfte ab, welche ihre finanziellen Mittel übersteigen würden. Weiter würden regelmässig Zahlungsaufforderungen eingehen, welche schliesslich zu Pfändungen führten. Den Verfahrensakten sei zu entnehmen, dass die Beschwerdeführerin die Bemühungen der Mandatsperson, ihre finanziellen Verhältnisse angemessen zu regeln und eine möglichst stabile finanzielle Situation zu schaffen, umgehe. So habe die Mandatsperson diverse Vertragsabschlüsse mit Handwerkern und Mobilfunk-Abos auf fremden Namen beschrieben, sowie die Mietung eines Postfaches ohne Absprache mit ihr. Folglich müsse davon ausgegangen werden, dass sie aktuell nach wie vor nicht in der Lage erscheine, ihre finanzielle Situation sowie die Konsequenzen ihrer Handlungen adäquat einzuschätzen. Darüber hinaus würden seitens der Beschwerdeführerin beinahe wöchentlich Eingaben bei der Schlichtungsstelle für Mietangelegenheiten eingehen. Seit dem Jahr 2022 hätten so bereits drei Schlichtungsverhandlungen stattgefunden. Die Beschwerdeführerin scheine diesbezüglich verwirrt und unterliege der Annahme, dass ihr die in Frage stehende Liegenschaft gehöre. Weiter würden ihre Eingaben repetitiv, wirr und zusammenhangslos erscheinen. Die Mietschlichtungsstelle BL gehe gemäss Aussagen gegenüber der Mandatsperson von Urteilsunfähigkeit betreffend diese Angelegenheiten aus. Die beschriebenen Verhaltensweisen der Beschwerdeführerin würden der Mandatsperson die ordnungsgemässe Wahrnehmung ihrer Aufgaben erschweren und überdies direkt ihre finanziellen Interessen gefährden. Anlässlich der persönlichen Anhörung habe sich die Beschwerdeführerin mit der erwogenen Einschränkung der Handlungsfähigkeit einverstanden erklärt und habe versichert, keine weiteren Verträge mehr eigenständig abzuschliessen. Aufgrund des chronifizierten Krankheitsbildes und Schwächezustandes der Beschwerdeführerin müsse jedoch davon ausgegangen werden, dass sie die ihr geschilderten Anträge der Mandatsperson und deren Auswirkungen nicht vollständig habe erfassen und nachvollziehen können. Sie scheine auf weitere Hilfe durch die Mandatsperson in Bezug auf die sich für sie schädigend auswirkenden Verträge angewiesen zu sein. Um dem Schutzbedarf der Beschwerdeführerin zu entsprechen, würden folglich zusätzliche Massnahmen als erforderlich erscheinen. Um eine weitere Überschuldung der Beschwerdeführerin zu verhindern, sei eine teilweise Einschränkung der Handlungsfähigkeit angezeigt. Die Errichtung einer Mitwirkungsbeistandschaft mit einem Zustimmungserfordernis ab einem festgesetzten Betrag erscheine im Hinblick auf die Vielzahl der abgeschlossenen Rechtsgeschäfte sowie dem chronifizierten Krankheitsbild, welches zur Verwirrung der Beschwerdeführerin führe, als ungeeigneter. Aufgrund des Umstands, dass sie nicht auf das Einwirken der Mandatsperson eingehe und aufgrund der fehlenden Krankheitseinsicht zu keiner Kooperation bereit sei, erscheine es als zielführender, mit einem teilweisen Entzug der Handlungsfähigkeit den Abschluss von schädigenden Rechtsgeschäften ohne Absprache und ohne Genehmigung der Mandatsperson zu verhindern. 5.2 Ergänzend zu den Erwägungen in ihrem Entscheid hält die Vorinstanz in ihrer Vernehmlassung unter anderem fest, der beschriebene erhöhte Schutzbedarf der Beschwerdeführerin habe sich in den vergangenen Monaten insbesondere im Abschluss einer Vielzahl unterschiedlicher Rechtsgeschäfte manifestiert, welche ihre finanziellen Mittel übersteigen würden, insbesondere Verträgen mit Handwerkern und beinahe wöchentlichen Eingaben bei der Schlichtungsstelle für Mietangelegenheiten. Um den Schutzbedarf der Beschwerdeführerin abzudecken und den Abschluss von Rechtsgeschäften beziehungsweise Handlungen, welche nicht ihren objektivierten Interessen entsprechen würden, zu verhindern, hätten sich zusätzliche Massnahmen als erforderlich gezeigt. Aufgrund der Vielzahl der vorgenommenen Handlungen sowie der fehlenden Kooperationsbereitschaft infolge der mangelnden Krankheitseinsicht stelle der teilweise Entzug der Handlungsfähigkeit die wirksamere Massnahme dar, als die Errichtung einer Mitwirkungsbeistandschaft. Der Entzug der Handlungsfähigkeit im Bereich Wohnen, insbesondere betreffend die Anträge vor der Schlichtungsstelle für Mietangelegenheiten, erscheine somit als geeignete und erforderliche Massnahme um dem erhöhten Hilfsbedarf der Beschwerdeführerin zu entsprechen. Die Einschränkung der Handlungsfähigkeit sei im Sinne der Verhältnismässigkeit auf den Schutzbedarf der Beschwerdeführerin zugeschnitten worden und entspreche den der Mandatsperson bereits übertragenen Vertretungsbefugnissen. Aus der Eingabe gehe hervor, dass die Beschwerdeführerin verkenne, dass die Handlungsfähigkeit nur punktuell und nicht vollumfänglich eingeschränkt worden sei. Im Rahmen der Verhältnismässigkeit seien ihr im Weitern die Handlungsfähigkeit für Verträge, die den Wert von Fr. 200.-- übersteigen sowie jegliche Dauerverträge, eingeschränkt worden. Dies sei erforderlich, um der angespannten finanziellen Situation der Beschwerdeführerin zu entsprechen.</w:t>
      </w:r>
    </w:p>
    <w:p>
      <w:r>
        <w:rPr>
          <w:b/>
        </w:rPr>
        <w:t>E. 6</w:t>
      </w:r>
    </w:p>
    <w:p>
      <w:r>
        <w:t>Die Schlussfolgerungen der Vorinstanz sind nicht zu beanstanden, und den treffenden Erwägungen ist nichts Wesentliches beizufügen. Aus den Akten geht hervor, dass die Beschwerdeführerin in der Vergangenheit aufgrund ihres krankheitsbedingten Schwächezustands wiederholt unüberlegte Handlungen in Bezug auf ihr Vermögen vornahm bzw. Vertragsabschlüsse mit negativen finanziellen Konsequenzen tätigte und Schulden anhäufte. Gemäss Mandatsperson gehen laufend Zahlungsaufforderungen des Betreibungsamtes ein, welche schliesslich zu Pfändungen führen. Auch liegt ein erhöhter Hilfsbedarf der Beschwerdeführerin im Bereich Wohnen vor, insbesondere betreffend die Anträge vor der Schlichtungsstelle für Mietangelegenheiten. Vor diesem Hintergrund erscheint der Entzug der Handlungsfähigkeit im vorgesehenen Umfang als geeignet und erforderlich, um die finanziellen Interessen der Beschwerdeführerin sowie ihr Schutzbedarf im Bereich Wohnen zu wahren. Auch ist mit der Vorinstanz darin einig zu gehen, dass eine Mitwirkungsbeistandschaft im vorliegenden Fall nicht zielführend ist, da der Gesundheitszustand der Beschwerdeführerin (paranoide Schizophrenie [ICD-10 F20.0]) chronifiziert ist und sie infolge dessen nicht adäquat auf gewisse Gegebenheiten reagieren kann. Zudem bestehen keine Anhaltspunkte, dass die Beschwerdeführerin durch die strittige Beschränkung der Handlungsfähigkeit wie auch hinsichtlich der ihr zur freien Verfügung überlassenen Beträge (Art. 409 ZGB) in ihrer Lebensführung in unverhältnismässiger Weise eingeschränkt wäre. Zusammenfassend kann festgehalten werden, dass die KESB B. ihr Ermessen korrekt angewendet und eine angemessene lnteressensabwägung vorgenommen hat. Der Entscheid der Vorinstanz, der Beschwerdeführerin die Handlungsfähigkeit im vorgesehenen Umfang zu entziehen, ist nach dem Gesagten nicht zu beanstanden.</w:t>
      </w:r>
    </w:p>
    <w:p>
      <w:r>
        <w:rPr>
          <w:b/>
        </w:rPr>
        <w:t>E. 7</w:t>
      </w:r>
    </w:p>
    <w:p>
      <w:r>
        <w:t>Nach dem Gesagten erweist sich die Beschwerde somit als unbegründet, und ist abzuweisen.</w:t>
      </w:r>
    </w:p>
    <w:p>
      <w:r>
        <w:rPr>
          <w:b/>
        </w:rPr>
        <w:t>E. 8</w:t>
      </w:r>
    </w:p>
    <w:p>
      <w:r>
        <w:t>Angesichts der konkreten Umstände wird auf die Erhebung von Gerichtskosten verzichtet (§ 4 Abs. 3 der Verordnung über die Gebühren der Gerichte [GebT] vom 15. November 2010). Das Gesuch um unentgeltliche Rechtspflege ist somit gegenstandslos geworden. Die Parteikosten sind wettzuschlagen. Demgemäss wird e r k a n n t : 1. Die Beschwerde wird abgewiesen. 2. Es wird keine Gerichtsgebühr erhoben.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